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eastAsia="方正小标宋简体"/>
          <w:b/>
          <w:sz w:val="44"/>
          <w:szCs w:val="44"/>
        </w:rPr>
      </w:pPr>
      <w:bookmarkStart w:id="0" w:name="_GoBack"/>
      <w:r>
        <w:rPr>
          <w:rFonts w:hint="eastAsia" w:ascii="方正小标宋简体" w:eastAsia="方正小标宋简体"/>
          <w:b/>
          <w:sz w:val="44"/>
          <w:szCs w:val="44"/>
        </w:rPr>
        <w:t>四川省旺苍县公开引进（招聘）急需紧缺高层次人才单位基本情况</w:t>
      </w:r>
    </w:p>
    <w:bookmarkEnd w:id="0"/>
    <w:p>
      <w:pPr>
        <w:spacing w:line="300" w:lineRule="exact"/>
        <w:rPr>
          <w:rFonts w:ascii="仿宋_GB2312" w:eastAsia="仿宋_GB2312"/>
          <w:szCs w:val="21"/>
        </w:rPr>
      </w:pPr>
    </w:p>
    <w:tbl>
      <w:tblPr>
        <w:tblStyle w:val="2"/>
        <w:tblW w:w="13976" w:type="dxa"/>
        <w:jc w:val="center"/>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359"/>
        <w:gridCol w:w="1113"/>
        <w:gridCol w:w="2828"/>
        <w:gridCol w:w="7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5" w:hRule="atLeast"/>
          <w:tblHeader/>
          <w:jc w:val="center"/>
        </w:trPr>
        <w:tc>
          <w:tcPr>
            <w:tcW w:w="2359" w:type="dxa"/>
            <w:shd w:val="clear" w:color="auto" w:fill="auto"/>
            <w:vAlign w:val="center"/>
          </w:tcPr>
          <w:p>
            <w:pPr>
              <w:spacing w:line="300" w:lineRule="exact"/>
              <w:jc w:val="center"/>
              <w:rPr>
                <w:rFonts w:ascii="黑体" w:eastAsia="黑体"/>
                <w:szCs w:val="21"/>
              </w:rPr>
            </w:pPr>
            <w:r>
              <w:rPr>
                <w:rFonts w:hint="eastAsia" w:ascii="黑体" w:eastAsia="黑体"/>
                <w:szCs w:val="21"/>
              </w:rPr>
              <w:t>单位名称</w:t>
            </w:r>
          </w:p>
        </w:tc>
        <w:tc>
          <w:tcPr>
            <w:tcW w:w="1113" w:type="dxa"/>
            <w:shd w:val="clear" w:color="auto" w:fill="auto"/>
            <w:vAlign w:val="center"/>
          </w:tcPr>
          <w:p>
            <w:pPr>
              <w:spacing w:line="300" w:lineRule="exact"/>
              <w:jc w:val="center"/>
              <w:rPr>
                <w:rFonts w:ascii="黑体" w:eastAsia="黑体"/>
                <w:szCs w:val="21"/>
              </w:rPr>
            </w:pPr>
            <w:r>
              <w:rPr>
                <w:rFonts w:hint="eastAsia" w:ascii="黑体" w:eastAsia="黑体"/>
                <w:szCs w:val="21"/>
              </w:rPr>
              <w:t>经费性质</w:t>
            </w:r>
          </w:p>
        </w:tc>
        <w:tc>
          <w:tcPr>
            <w:tcW w:w="2828" w:type="dxa"/>
            <w:shd w:val="clear" w:color="auto" w:fill="auto"/>
            <w:vAlign w:val="center"/>
          </w:tcPr>
          <w:p>
            <w:pPr>
              <w:spacing w:line="300" w:lineRule="exact"/>
              <w:jc w:val="center"/>
              <w:rPr>
                <w:rFonts w:ascii="黑体" w:eastAsia="黑体"/>
                <w:szCs w:val="21"/>
              </w:rPr>
            </w:pPr>
            <w:r>
              <w:rPr>
                <w:rFonts w:hint="eastAsia" w:ascii="黑体" w:eastAsia="黑体"/>
                <w:szCs w:val="21"/>
              </w:rPr>
              <w:t>单位地址</w:t>
            </w:r>
          </w:p>
        </w:tc>
        <w:tc>
          <w:tcPr>
            <w:tcW w:w="7676" w:type="dxa"/>
            <w:shd w:val="clear" w:color="auto" w:fill="auto"/>
            <w:vAlign w:val="center"/>
          </w:tcPr>
          <w:p>
            <w:pPr>
              <w:spacing w:line="300" w:lineRule="exact"/>
              <w:jc w:val="center"/>
              <w:rPr>
                <w:rFonts w:ascii="黑体" w:eastAsia="黑体"/>
                <w:szCs w:val="21"/>
              </w:rPr>
            </w:pPr>
            <w:r>
              <w:rPr>
                <w:rFonts w:hint="eastAsia" w:ascii="黑体" w:eastAsia="黑体"/>
                <w:szCs w:val="21"/>
              </w:rPr>
              <w:t>主要职能简介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40" w:hRule="atLeast"/>
          <w:jc w:val="center"/>
        </w:trPr>
        <w:tc>
          <w:tcPr>
            <w:tcW w:w="2359"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旺苍县干部信息档案管理中心</w:t>
            </w:r>
          </w:p>
        </w:tc>
        <w:tc>
          <w:tcPr>
            <w:tcW w:w="1113"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全额拨款</w:t>
            </w:r>
          </w:p>
        </w:tc>
        <w:tc>
          <w:tcPr>
            <w:tcW w:w="2828"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旺苍县东河镇新华街333号</w:t>
            </w:r>
          </w:p>
        </w:tc>
        <w:tc>
          <w:tcPr>
            <w:tcW w:w="7676"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负责全县副科级以上干部信息库的建设和管理，以及干部信息的统计、分析、调查、整理，为县委和部机关及有关部门提供信息服务。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40" w:hRule="atLeast"/>
          <w:jc w:val="center"/>
        </w:trPr>
        <w:tc>
          <w:tcPr>
            <w:tcW w:w="2359" w:type="dxa"/>
            <w:shd w:val="clear" w:color="auto" w:fill="auto"/>
            <w:vAlign w:val="center"/>
          </w:tcPr>
          <w:p>
            <w:pPr>
              <w:spacing w:line="300" w:lineRule="exact"/>
              <w:rPr>
                <w:rFonts w:ascii="仿宋_GB2312" w:eastAsia="仿宋_GB2312"/>
                <w:spacing w:val="-4"/>
                <w:szCs w:val="21"/>
              </w:rPr>
            </w:pPr>
            <w:r>
              <w:rPr>
                <w:rFonts w:hint="eastAsia" w:ascii="仿宋_GB2312" w:eastAsia="仿宋_GB2312"/>
                <w:spacing w:val="-4"/>
                <w:szCs w:val="21"/>
              </w:rPr>
              <w:t>旺苍县土地开发整理中心</w:t>
            </w:r>
          </w:p>
        </w:tc>
        <w:tc>
          <w:tcPr>
            <w:tcW w:w="1113"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全额拨款</w:t>
            </w:r>
          </w:p>
        </w:tc>
        <w:tc>
          <w:tcPr>
            <w:tcW w:w="2828"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旺苍县东河镇西凤巷104号</w:t>
            </w:r>
          </w:p>
        </w:tc>
        <w:tc>
          <w:tcPr>
            <w:tcW w:w="7676"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负责制定并落实土地开发整理规划与计划等工作。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40" w:hRule="atLeast"/>
          <w:jc w:val="center"/>
        </w:trPr>
        <w:tc>
          <w:tcPr>
            <w:tcW w:w="2359"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旺苍县建设工程质量安全监督站</w:t>
            </w:r>
          </w:p>
        </w:tc>
        <w:tc>
          <w:tcPr>
            <w:tcW w:w="1113"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全额拨款</w:t>
            </w:r>
          </w:p>
        </w:tc>
        <w:tc>
          <w:tcPr>
            <w:tcW w:w="2828"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旺苍县凤凰梁87号</w:t>
            </w:r>
          </w:p>
        </w:tc>
        <w:tc>
          <w:tcPr>
            <w:tcW w:w="7676"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负责全县建设工程安全质量管理，贯彻执行建设工程强制性标准，依法对工程建设五方责任主体履行质量安全责任的行为实施监督等工作。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40" w:hRule="atLeast"/>
          <w:jc w:val="center"/>
        </w:trPr>
        <w:tc>
          <w:tcPr>
            <w:tcW w:w="2359"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旺苍县审计信息中心</w:t>
            </w:r>
          </w:p>
        </w:tc>
        <w:tc>
          <w:tcPr>
            <w:tcW w:w="1113"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全额拨款</w:t>
            </w:r>
          </w:p>
        </w:tc>
        <w:tc>
          <w:tcPr>
            <w:tcW w:w="2828"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旺苍县东河镇凤凰梁西凤巷109号</w:t>
            </w:r>
          </w:p>
        </w:tc>
        <w:tc>
          <w:tcPr>
            <w:tcW w:w="7676"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负责贯彻执行上级审计机关和县委县政府制定的信息化方针、政策和技术标准、规范，研究制定局机关的信息化建设规划、计划、方案; 组织协调、指导管理、监督检查局机关的信息化建设等工作。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40" w:hRule="atLeast"/>
          <w:jc w:val="center"/>
        </w:trPr>
        <w:tc>
          <w:tcPr>
            <w:tcW w:w="2359"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红军精神培训学院</w:t>
            </w:r>
          </w:p>
        </w:tc>
        <w:tc>
          <w:tcPr>
            <w:tcW w:w="1113"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全额拨款</w:t>
            </w:r>
          </w:p>
        </w:tc>
        <w:tc>
          <w:tcPr>
            <w:tcW w:w="2828"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四川省旺苍县东河镇红星南路177号</w:t>
            </w:r>
          </w:p>
        </w:tc>
        <w:tc>
          <w:tcPr>
            <w:tcW w:w="7676"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负责宣讲马克思主义中国化最新理论成果和党的路线、方针、政策，深入挖掘、研究、传承“中国红军精神”，开展党员干部理想信念教育、党性党风党纪教育和“三观”教育等培训任务。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40" w:hRule="atLeast"/>
          <w:jc w:val="center"/>
        </w:trPr>
        <w:tc>
          <w:tcPr>
            <w:tcW w:w="2359"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旺苍县发展和改革信息中心</w:t>
            </w:r>
          </w:p>
        </w:tc>
        <w:tc>
          <w:tcPr>
            <w:tcW w:w="1113"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全额拨款</w:t>
            </w:r>
          </w:p>
        </w:tc>
        <w:tc>
          <w:tcPr>
            <w:tcW w:w="2828"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旺苍县东河镇红星南路140号</w:t>
            </w:r>
          </w:p>
        </w:tc>
        <w:tc>
          <w:tcPr>
            <w:tcW w:w="7676"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负责承担全县社会经济发展的监测、预测系统、与县级有关部门配合建立电子政务信息等系统。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40" w:hRule="atLeast"/>
          <w:jc w:val="center"/>
        </w:trPr>
        <w:tc>
          <w:tcPr>
            <w:tcW w:w="2359"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旺苍县农村公路建设管理办公室</w:t>
            </w:r>
          </w:p>
        </w:tc>
        <w:tc>
          <w:tcPr>
            <w:tcW w:w="1113"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全额拨款</w:t>
            </w:r>
          </w:p>
        </w:tc>
        <w:tc>
          <w:tcPr>
            <w:tcW w:w="2828"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旺苍县东河镇环城中路238号</w:t>
            </w:r>
          </w:p>
        </w:tc>
        <w:tc>
          <w:tcPr>
            <w:tcW w:w="7676"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负责为全县农村公路建设提供建设管理、资金使用管理、技术指导、监督和培训等工作。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22" w:hRule="atLeast"/>
          <w:jc w:val="center"/>
        </w:trPr>
        <w:tc>
          <w:tcPr>
            <w:tcW w:w="2359"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旺苍县食品药品检测检验中心</w:t>
            </w:r>
          </w:p>
        </w:tc>
        <w:tc>
          <w:tcPr>
            <w:tcW w:w="1113"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差额拨款</w:t>
            </w:r>
          </w:p>
        </w:tc>
        <w:tc>
          <w:tcPr>
            <w:tcW w:w="2828"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旺苍县东河镇西凤巷59号</w:t>
            </w:r>
          </w:p>
        </w:tc>
        <w:tc>
          <w:tcPr>
            <w:tcW w:w="7676"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负责完成县人民政府和县食品药品和工商质监局下达的食品、药品和化妆品监督抽检任务，对全县食品、药品安全风险评估和分析研判；协助完成国家药品医疗器械评价性抽样监测任务；负责药品、医疗器械、经营企业、医疗机构的不良反应监测和发生药品、医疗器械严重不良事件的调查、上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40" w:hRule="atLeast"/>
          <w:jc w:val="center"/>
        </w:trPr>
        <w:tc>
          <w:tcPr>
            <w:tcW w:w="2359"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旺苍县经济商务和信息中心</w:t>
            </w:r>
          </w:p>
        </w:tc>
        <w:tc>
          <w:tcPr>
            <w:tcW w:w="1113"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全额拨款</w:t>
            </w:r>
          </w:p>
        </w:tc>
        <w:tc>
          <w:tcPr>
            <w:tcW w:w="2828"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旺苍县东河镇商业南街144号</w:t>
            </w:r>
          </w:p>
        </w:tc>
        <w:tc>
          <w:tcPr>
            <w:tcW w:w="7676"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负责承担全县社会经济发展的监测、预测系统、与县级有关部门配合建立电子政务信息等系统。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40" w:hRule="atLeast"/>
          <w:jc w:val="center"/>
        </w:trPr>
        <w:tc>
          <w:tcPr>
            <w:tcW w:w="2359"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旺苍县经济开发区科信中心</w:t>
            </w:r>
          </w:p>
        </w:tc>
        <w:tc>
          <w:tcPr>
            <w:tcW w:w="1113"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全额拨款</w:t>
            </w:r>
          </w:p>
        </w:tc>
        <w:tc>
          <w:tcPr>
            <w:tcW w:w="2828"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旺苍县东河镇马家渡兴旺大道西路122号</w:t>
            </w:r>
          </w:p>
        </w:tc>
        <w:tc>
          <w:tcPr>
            <w:tcW w:w="7676"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为入区企业提供科技服务和技术指导，培育科技型企业；负责高新技术企业及高新技术产品和各类创新基金项目、科技成果专项推广项目的审核、申报等工作。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40" w:hRule="atLeast"/>
          <w:jc w:val="center"/>
        </w:trPr>
        <w:tc>
          <w:tcPr>
            <w:tcW w:w="2359"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旺苍县图书馆</w:t>
            </w:r>
          </w:p>
        </w:tc>
        <w:tc>
          <w:tcPr>
            <w:tcW w:w="1113"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全额拨款</w:t>
            </w:r>
          </w:p>
        </w:tc>
        <w:tc>
          <w:tcPr>
            <w:tcW w:w="2828"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旺苍县东河镇兴旺大道文化体育中心</w:t>
            </w:r>
          </w:p>
        </w:tc>
        <w:tc>
          <w:tcPr>
            <w:tcW w:w="7676"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保存、借阅图书资料，促进社会经济文化发展；图书资料采编与储藏、借阅；图书馆学研究与社会教育；完成主管部门交办的其他工作事项。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40" w:hRule="atLeast"/>
          <w:jc w:val="center"/>
        </w:trPr>
        <w:tc>
          <w:tcPr>
            <w:tcW w:w="2359" w:type="dxa"/>
            <w:shd w:val="clear" w:color="auto" w:fill="auto"/>
            <w:vAlign w:val="center"/>
          </w:tcPr>
          <w:p>
            <w:pPr>
              <w:spacing w:line="300" w:lineRule="exact"/>
              <w:rPr>
                <w:rFonts w:ascii="仿宋_GB2312" w:eastAsia="仿宋_GB2312"/>
                <w:szCs w:val="21"/>
              </w:rPr>
            </w:pPr>
            <w:r>
              <w:rPr>
                <w:rFonts w:hint="eastAsia" w:ascii="仿宋_GB2312" w:eastAsia="仿宋_GB2312"/>
                <w:spacing w:val="-4"/>
                <w:szCs w:val="21"/>
              </w:rPr>
              <w:t>旺苍县煤矿瓦斯监控中心</w:t>
            </w:r>
          </w:p>
        </w:tc>
        <w:tc>
          <w:tcPr>
            <w:tcW w:w="1113"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全额拨款</w:t>
            </w:r>
          </w:p>
        </w:tc>
        <w:tc>
          <w:tcPr>
            <w:tcW w:w="2828"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旺苍县东河镇滨河中路217号</w:t>
            </w:r>
          </w:p>
        </w:tc>
        <w:tc>
          <w:tcPr>
            <w:tcW w:w="7676"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准确掌握煤矿瓦斯监控、风机开停等网络运行情况及数据资料；监督、检查各乡镇煤矿瓦斯监控监测系统网络建设使用和运行情况，发现隐患及时督促整改。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5" w:hRule="atLeast"/>
          <w:jc w:val="center"/>
        </w:trPr>
        <w:tc>
          <w:tcPr>
            <w:tcW w:w="2359"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旺苍县旺苍中学</w:t>
            </w:r>
          </w:p>
        </w:tc>
        <w:tc>
          <w:tcPr>
            <w:tcW w:w="1113"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全额拨款</w:t>
            </w:r>
          </w:p>
        </w:tc>
        <w:tc>
          <w:tcPr>
            <w:tcW w:w="2828"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旺苍县东河镇建设路215号</w:t>
            </w:r>
          </w:p>
        </w:tc>
        <w:tc>
          <w:tcPr>
            <w:tcW w:w="7676"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从事普通高中、初中教育等工作。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5" w:hRule="atLeast"/>
          <w:jc w:val="center"/>
        </w:trPr>
        <w:tc>
          <w:tcPr>
            <w:tcW w:w="2359"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旺苍县东城中学</w:t>
            </w:r>
          </w:p>
        </w:tc>
        <w:tc>
          <w:tcPr>
            <w:tcW w:w="1113"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全额拨款</w:t>
            </w:r>
          </w:p>
        </w:tc>
        <w:tc>
          <w:tcPr>
            <w:tcW w:w="2828"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旺苍县东河镇滨河北路414号</w:t>
            </w:r>
          </w:p>
        </w:tc>
        <w:tc>
          <w:tcPr>
            <w:tcW w:w="7676"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从事普通高中、初中教育等工作。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5" w:hRule="atLeast"/>
          <w:jc w:val="center"/>
        </w:trPr>
        <w:tc>
          <w:tcPr>
            <w:tcW w:w="2359"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旺苍县人民医院</w:t>
            </w:r>
          </w:p>
        </w:tc>
        <w:tc>
          <w:tcPr>
            <w:tcW w:w="1113"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全额拨款</w:t>
            </w:r>
          </w:p>
        </w:tc>
        <w:tc>
          <w:tcPr>
            <w:tcW w:w="2828"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旺苍县东河镇新华街471号</w:t>
            </w:r>
          </w:p>
        </w:tc>
        <w:tc>
          <w:tcPr>
            <w:tcW w:w="7676"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国家二级甲等综合医院。提供医疗服务，承担指导乡镇卫生院业务工作，进行预防保健工作。</w:t>
            </w:r>
          </w:p>
        </w:tc>
      </w:tr>
    </w:tbl>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C7499"/>
    <w:rsid w:val="52FC7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2019-08-31T02:27:00Z</dcterms:created>
  <dc:creator>石果</dc:creator>
  <cp:lastModifiedBy>石果</cp:lastModifiedBy>
  <dcterms:modified xsi:type="dcterms:W3CDTF">2019-08-31T02:28:32Z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