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  <w:t>昆明市西山区人民医院非编制工作人员招聘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72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526"/>
        <w:gridCol w:w="1665"/>
        <w:gridCol w:w="1165"/>
        <w:gridCol w:w="31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资质要求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妇产科B超室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普通全日制大学本科及以上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临床医学、医学影像学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1.取得医师资格证书；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2.住院医师规范化培训合格证书。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3.执业范围：医学影像和放射治疗专业。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普通全日制大学本科及以上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60" w:right="0" w:hanging="36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取得医师资格证书；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60" w:right="0" w:hanging="36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执业范围：外科专业。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普通全日制大学专科及以上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1.取得护士资格证书。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普通全日制大学本科及以上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临床医学、麻醉学</w:t>
            </w:r>
          </w:p>
        </w:tc>
        <w:tc>
          <w:tcPr>
            <w:tcW w:w="3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60" w:right="0" w:hanging="36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取得医师资格证书；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60" w:right="0" w:hanging="360"/>
              <w:jc w:val="left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执业范围：麻醉专业。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C76AB"/>
    <w:rsid w:val="2BBC7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2019-08-21T12:23:00Z</dcterms:created>
  <dc:creator>ASUS</dc:creator>
  <cp:lastModifiedBy>ASUS</cp:lastModifiedBy>
  <dcterms:modified xsi:type="dcterms:W3CDTF">2019-08-21T12:23:36Z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